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BB" w:rsidRDefault="00220FBB" w:rsidP="009A6CA3">
      <w:pPr>
        <w:widowControl/>
        <w:spacing w:line="240" w:lineRule="atLeast"/>
        <w:ind w:left="210" w:hangingChars="100" w:hanging="210"/>
        <w:jc w:val="left"/>
        <w:rPr>
          <w:rFonts w:asciiTheme="minorEastAsia" w:hAnsiTheme="minorEastAsia"/>
          <w:szCs w:val="21"/>
        </w:rPr>
      </w:pPr>
      <w:r w:rsidRPr="00220FBB">
        <w:rPr>
          <w:rFonts w:asciiTheme="minorEastAsia" w:hAnsiTheme="minorEastAsia" w:hint="eastAsia"/>
          <w:szCs w:val="21"/>
        </w:rPr>
        <w:t>(児童福祉施設入所等費用の徴収)</w:t>
      </w:r>
      <w:bookmarkStart w:id="0" w:name="_GoBack"/>
      <w:bookmarkEnd w:id="0"/>
    </w:p>
    <w:p w:rsidR="009A6CA3" w:rsidRPr="00220FBB" w:rsidRDefault="009A6CA3" w:rsidP="009A6CA3">
      <w:pPr>
        <w:widowControl/>
        <w:spacing w:line="240" w:lineRule="atLeast"/>
        <w:ind w:left="210" w:hangingChars="100" w:hanging="210"/>
        <w:jc w:val="left"/>
        <w:rPr>
          <w:rFonts w:asciiTheme="minorEastAsia" w:hAnsiTheme="minorEastAsia" w:cs="ＭＳ ゴシック"/>
          <w:spacing w:val="20"/>
          <w:kern w:val="0"/>
          <w:szCs w:val="21"/>
        </w:rPr>
      </w:pPr>
      <w:r w:rsidRPr="00220FBB">
        <w:rPr>
          <w:rFonts w:asciiTheme="minorEastAsia" w:hAnsiTheme="minorEastAsia" w:hint="eastAsia"/>
          <w:szCs w:val="21"/>
        </w:rPr>
        <w:t xml:space="preserve">第二十条　</w:t>
      </w:r>
      <w:r w:rsidRPr="00220FBB">
        <w:rPr>
          <w:rFonts w:asciiTheme="minorEastAsia" w:hAnsiTheme="minorEastAsia" w:cs="ＭＳ ゴシック" w:hint="eastAsia"/>
          <w:spacing w:val="20"/>
          <w:kern w:val="0"/>
          <w:szCs w:val="21"/>
        </w:rPr>
        <w:t>地域県民局長は、</w:t>
      </w:r>
      <w:hyperlink r:id="rId6" w:history="1">
        <w:r w:rsidRPr="00220FBB">
          <w:rPr>
            <w:rFonts w:asciiTheme="minorEastAsia" w:hAnsiTheme="minorEastAsia" w:cs="ＭＳ ゴシック" w:hint="eastAsia"/>
            <w:color w:val="000000"/>
            <w:spacing w:val="20"/>
            <w:kern w:val="0"/>
            <w:szCs w:val="21"/>
          </w:rPr>
          <w:t>条例第十条第一項</w:t>
        </w:r>
      </w:hyperlink>
      <w:r w:rsidRPr="00220FBB">
        <w:rPr>
          <w:rFonts w:asciiTheme="minorEastAsia" w:hAnsiTheme="minorEastAsia" w:cs="ＭＳ ゴシック" w:hint="eastAsia"/>
          <w:spacing w:val="20"/>
          <w:kern w:val="0"/>
          <w:szCs w:val="21"/>
        </w:rPr>
        <w:t>の規定により、地域県民局長、福祉事務所長又は児童相談所長が母子保護等の実施若しくは児童等入所措置(以下「施設入所措置等」という。)又は児童自立生活援助(満二十歳未満義務教育終了児童等に係るものに限る。以下同じ。)の実施を行つたときは、当該施設入所措置等を受けた保護母子等若しくは措置児童等(以下「被措置者等」という。)若しくは当該被措置者等と基準日(被措置者等が施設入所措置等を受けている日の属する月の初日をいう。以下同じ。)において世帯及び生計を同一にしているその扶養義務者(当該被措置者等以外の被措置者等、</w:t>
      </w:r>
      <w:hyperlink r:id="rId7" w:history="1">
        <w:r w:rsidRPr="00220FBB">
          <w:rPr>
            <w:rFonts w:asciiTheme="minorEastAsia" w:hAnsiTheme="minorEastAsia" w:cs="ＭＳ ゴシック" w:hint="eastAsia"/>
            <w:color w:val="000000"/>
            <w:spacing w:val="20"/>
            <w:kern w:val="0"/>
            <w:szCs w:val="21"/>
          </w:rPr>
          <w:t>身体障害者福祉法(昭和二十四年法律第二百八十三号)第十八条第二項</w:t>
        </w:r>
      </w:hyperlink>
      <w:r w:rsidRPr="00220FBB">
        <w:rPr>
          <w:rFonts w:asciiTheme="minorEastAsia" w:hAnsiTheme="minorEastAsia" w:cs="ＭＳ ゴシック" w:hint="eastAsia"/>
          <w:spacing w:val="20"/>
          <w:kern w:val="0"/>
          <w:szCs w:val="21"/>
        </w:rPr>
        <w:t>、</w:t>
      </w:r>
      <w:hyperlink r:id="rId8" w:history="1">
        <w:r w:rsidRPr="00220FBB">
          <w:rPr>
            <w:rFonts w:asciiTheme="minorEastAsia" w:hAnsiTheme="minorEastAsia" w:cs="ＭＳ ゴシック" w:hint="eastAsia"/>
            <w:color w:val="000000"/>
            <w:spacing w:val="20"/>
            <w:kern w:val="0"/>
            <w:szCs w:val="21"/>
          </w:rPr>
          <w:t>知的障害者福祉法(昭和三十五年法律第三十七号)第十六条第一項第二号</w:t>
        </w:r>
      </w:hyperlink>
      <w:r w:rsidRPr="00220FBB">
        <w:rPr>
          <w:rFonts w:asciiTheme="minorEastAsia" w:hAnsiTheme="minorEastAsia" w:cs="ＭＳ ゴシック" w:hint="eastAsia"/>
          <w:spacing w:val="20"/>
          <w:kern w:val="0"/>
          <w:szCs w:val="21"/>
        </w:rPr>
        <w:t>若しくは</w:t>
      </w:r>
      <w:hyperlink r:id="rId9" w:history="1">
        <w:r w:rsidRPr="00220FBB">
          <w:rPr>
            <w:rFonts w:asciiTheme="minorEastAsia" w:hAnsiTheme="minorEastAsia" w:cs="ＭＳ ゴシック" w:hint="eastAsia"/>
            <w:color w:val="000000"/>
            <w:spacing w:val="20"/>
            <w:kern w:val="0"/>
            <w:szCs w:val="21"/>
          </w:rPr>
          <w:t>第三号</w:t>
        </w:r>
      </w:hyperlink>
      <w:r w:rsidRPr="00220FBB">
        <w:rPr>
          <w:rFonts w:asciiTheme="minorEastAsia" w:hAnsiTheme="minorEastAsia" w:cs="ＭＳ ゴシック" w:hint="eastAsia"/>
          <w:spacing w:val="20"/>
          <w:kern w:val="0"/>
          <w:szCs w:val="21"/>
        </w:rPr>
        <w:t>又は</w:t>
      </w:r>
      <w:hyperlink r:id="rId10" w:history="1">
        <w:r w:rsidRPr="00220FBB">
          <w:rPr>
            <w:rFonts w:asciiTheme="minorEastAsia" w:hAnsiTheme="minorEastAsia" w:cs="ＭＳ ゴシック" w:hint="eastAsia"/>
            <w:color w:val="000000"/>
            <w:spacing w:val="20"/>
            <w:kern w:val="0"/>
            <w:szCs w:val="21"/>
          </w:rPr>
          <w:t>老人福祉法(昭和三十八年法律第百三十三号)第十一条第一項</w:t>
        </w:r>
      </w:hyperlink>
      <w:r w:rsidRPr="00220FBB">
        <w:rPr>
          <w:rFonts w:asciiTheme="minorEastAsia" w:hAnsiTheme="minorEastAsia" w:cs="ＭＳ ゴシック" w:hint="eastAsia"/>
          <w:spacing w:val="20"/>
          <w:kern w:val="0"/>
          <w:szCs w:val="21"/>
        </w:rPr>
        <w:t>各号の規定による措置を受けている者及び</w:t>
      </w:r>
      <w:hyperlink r:id="rId11" w:history="1">
        <w:r w:rsidRPr="00220FBB">
          <w:rPr>
            <w:rFonts w:asciiTheme="minorEastAsia" w:hAnsiTheme="minorEastAsia" w:cs="ＭＳ ゴシック" w:hint="eastAsia"/>
            <w:color w:val="000000"/>
            <w:spacing w:val="20"/>
            <w:kern w:val="0"/>
            <w:szCs w:val="21"/>
          </w:rPr>
          <w:t>障害者の日常生活及び社会生活を総合的に支援するための法律(平成十七年法律第百二十三号)第十九条第一項</w:t>
        </w:r>
      </w:hyperlink>
      <w:r w:rsidRPr="00220FBB">
        <w:rPr>
          <w:rFonts w:asciiTheme="minorEastAsia" w:hAnsiTheme="minorEastAsia" w:cs="ＭＳ ゴシック" w:hint="eastAsia"/>
          <w:spacing w:val="20"/>
          <w:kern w:val="0"/>
          <w:szCs w:val="21"/>
        </w:rPr>
        <w:t>に規定する介護給付費等(</w:t>
      </w:r>
      <w:hyperlink r:id="rId12" w:history="1">
        <w:r w:rsidRPr="00220FBB">
          <w:rPr>
            <w:rFonts w:asciiTheme="minorEastAsia" w:hAnsiTheme="minorEastAsia" w:cs="ＭＳ ゴシック" w:hint="eastAsia"/>
            <w:color w:val="000000"/>
            <w:spacing w:val="20"/>
            <w:kern w:val="0"/>
            <w:szCs w:val="21"/>
          </w:rPr>
          <w:t>同法第五条第六項</w:t>
        </w:r>
      </w:hyperlink>
      <w:r w:rsidRPr="00220FBB">
        <w:rPr>
          <w:rFonts w:asciiTheme="minorEastAsia" w:hAnsiTheme="minorEastAsia" w:cs="ＭＳ ゴシック" w:hint="eastAsia"/>
          <w:spacing w:val="20"/>
          <w:kern w:val="0"/>
          <w:szCs w:val="21"/>
        </w:rPr>
        <w:t>に規定する療養介護及び同条第十一項に規定する施設入所支援に係るものに限る。)の受給者を除く。)で次に掲げるもの又は当該児童自立生活援助の実施を受けた満二十歳未満義務教育終了児童等(以下「被援助満二十歳未満児童等」という。)から、当該被措置者等又は当該被援助満二十歳未満児童等に係る児童福祉施設入所等費用を徴収するものとする。</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1" w:name="J20_K1_G1"/>
      <w:bookmarkEnd w:id="1"/>
      <w:r w:rsidRPr="00220FBB">
        <w:rPr>
          <w:rFonts w:asciiTheme="minorEastAsia" w:hAnsiTheme="minorEastAsia" w:cs="ＭＳ ゴシック" w:hint="eastAsia"/>
          <w:spacing w:val="20"/>
          <w:kern w:val="0"/>
          <w:szCs w:val="21"/>
        </w:rPr>
        <w:t>一　被措置者等の直系血族及び配偶者</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2" w:name="J20_K1_G2"/>
      <w:bookmarkEnd w:id="2"/>
      <w:r w:rsidRPr="00220FBB">
        <w:rPr>
          <w:rFonts w:asciiTheme="minorEastAsia" w:hAnsiTheme="minorEastAsia" w:cs="ＭＳ ゴシック" w:hint="eastAsia"/>
          <w:spacing w:val="20"/>
          <w:kern w:val="0"/>
          <w:szCs w:val="21"/>
        </w:rPr>
        <w:t>二　被措置者等の属する世帯における生計を主宰している扶養義務者(前号に掲げる扶養義務者を除く。)</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r w:rsidRPr="00220FBB">
        <w:rPr>
          <w:rFonts w:asciiTheme="minorEastAsia" w:hAnsiTheme="minorEastAsia" w:cs="ＭＳ ゴシック" w:hint="eastAsia"/>
          <w:spacing w:val="20"/>
          <w:kern w:val="0"/>
          <w:szCs w:val="21"/>
        </w:rPr>
        <w:t xml:space="preserve">2　</w:t>
      </w:r>
      <w:hyperlink r:id="rId13" w:history="1">
        <w:r w:rsidRPr="00220FBB">
          <w:rPr>
            <w:rFonts w:asciiTheme="minorEastAsia" w:hAnsiTheme="minorEastAsia" w:cs="ＭＳ ゴシック" w:hint="eastAsia"/>
            <w:color w:val="000000"/>
            <w:spacing w:val="20"/>
            <w:kern w:val="0"/>
            <w:szCs w:val="21"/>
          </w:rPr>
          <w:t>条例第十条第一項</w:t>
        </w:r>
      </w:hyperlink>
      <w:r w:rsidRPr="00220FBB">
        <w:rPr>
          <w:rFonts w:asciiTheme="minorEastAsia" w:hAnsiTheme="minorEastAsia" w:cs="ＭＳ ゴシック" w:hint="eastAsia"/>
          <w:spacing w:val="20"/>
          <w:kern w:val="0"/>
          <w:szCs w:val="21"/>
        </w:rPr>
        <w:t>の規定により前項の被措置者等及び扶養義務者並びに被援助満二十歳未満児童等(以下「入所納入義務者」という。)から徴収する費用(以下「入所等徴収金」という。)の額は、被措置者等及び前項各号に掲げる扶養義務者の属する世帯又は被援助満二十歳未満児童等の</w:t>
      </w:r>
      <w:hyperlink r:id="rId14" w:history="1">
        <w:r w:rsidRPr="00220FBB">
          <w:rPr>
            <w:rFonts w:asciiTheme="minorEastAsia" w:hAnsiTheme="minorEastAsia" w:cs="ＭＳ ゴシック" w:hint="eastAsia"/>
            <w:color w:val="000000"/>
            <w:spacing w:val="20"/>
            <w:kern w:val="0"/>
            <w:szCs w:val="21"/>
          </w:rPr>
          <w:t>別表第二</w:t>
        </w:r>
      </w:hyperlink>
      <w:r w:rsidRPr="00220FBB">
        <w:rPr>
          <w:rFonts w:asciiTheme="minorEastAsia" w:hAnsiTheme="minorEastAsia" w:cs="ＭＳ ゴシック" w:hint="eastAsia"/>
          <w:spacing w:val="20"/>
          <w:kern w:val="0"/>
          <w:szCs w:val="21"/>
        </w:rPr>
        <w:t>の税額等による階層区分に応じ</w:t>
      </w:r>
      <w:hyperlink r:id="rId15" w:history="1">
        <w:r w:rsidRPr="00220FBB">
          <w:rPr>
            <w:rFonts w:asciiTheme="minorEastAsia" w:hAnsiTheme="minorEastAsia" w:cs="ＭＳ ゴシック" w:hint="eastAsia"/>
            <w:color w:val="000000"/>
            <w:spacing w:val="20"/>
            <w:kern w:val="0"/>
            <w:szCs w:val="21"/>
          </w:rPr>
          <w:t>同表</w:t>
        </w:r>
      </w:hyperlink>
      <w:r w:rsidRPr="00220FBB">
        <w:rPr>
          <w:rFonts w:asciiTheme="minorEastAsia" w:hAnsiTheme="minorEastAsia" w:cs="ＭＳ ゴシック" w:hint="eastAsia"/>
          <w:spacing w:val="20"/>
          <w:kern w:val="0"/>
          <w:szCs w:val="21"/>
        </w:rPr>
        <w:t>に定める額とする。</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3" w:name="J20_K3"/>
      <w:bookmarkEnd w:id="3"/>
      <w:r w:rsidRPr="00220FBB">
        <w:rPr>
          <w:rFonts w:asciiTheme="minorEastAsia" w:hAnsiTheme="minorEastAsia" w:cs="ＭＳ ゴシック" w:hint="eastAsia"/>
          <w:spacing w:val="20"/>
          <w:kern w:val="0"/>
          <w:szCs w:val="21"/>
        </w:rPr>
        <w:t>3　前項の規定にかかわらず、第一項各号に掲げる扶養義務者が二人以上の被措置者等の扶養義務者である場合において、被措置者等が、それぞれの被措置者等に係る前項の規定による入所等徴収金の額のうち最も多額なもの(最も多額なものが二以上ある場合は、そのうちの先に措置を受けた者に係るもの)以外のものに係る者であるときは、当該被措置者等に係る扶養義務者としての入所等徴収金の額は、それぞれ、前項の規定による入所等徴収金の額の十分の一に相当する額とする。</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4" w:name="J20_K4"/>
      <w:bookmarkEnd w:id="4"/>
      <w:r w:rsidRPr="00220FBB">
        <w:rPr>
          <w:rFonts w:asciiTheme="minorEastAsia" w:hAnsiTheme="minorEastAsia" w:cs="ＭＳ ゴシック" w:hint="eastAsia"/>
          <w:spacing w:val="20"/>
          <w:kern w:val="0"/>
          <w:szCs w:val="21"/>
        </w:rPr>
        <w:lastRenderedPageBreak/>
        <w:t>4　助産施設に入所している被措置者等に係る入所等徴収金の額は、前二項の規定にかかわらず、当該被措置者等の属する世帯の次の各号に掲げる</w:t>
      </w:r>
      <w:hyperlink r:id="rId16" w:history="1">
        <w:r w:rsidRPr="00220FBB">
          <w:rPr>
            <w:rFonts w:asciiTheme="minorEastAsia" w:hAnsiTheme="minorEastAsia" w:cs="ＭＳ ゴシック" w:hint="eastAsia"/>
            <w:color w:val="000000"/>
            <w:spacing w:val="20"/>
            <w:kern w:val="0"/>
            <w:szCs w:val="21"/>
          </w:rPr>
          <w:t>別表第二</w:t>
        </w:r>
      </w:hyperlink>
      <w:r w:rsidRPr="00220FBB">
        <w:rPr>
          <w:rFonts w:asciiTheme="minorEastAsia" w:hAnsiTheme="minorEastAsia" w:cs="ＭＳ ゴシック" w:hint="eastAsia"/>
          <w:spacing w:val="20"/>
          <w:kern w:val="0"/>
          <w:szCs w:val="21"/>
        </w:rPr>
        <w:t>の税額等による階層区分に応じ、当該各号に掲げる額を前二項の規定による入所等徴収金の額に加算した額とする。</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5" w:name="J20_K4_G1"/>
      <w:bookmarkEnd w:id="5"/>
      <w:r w:rsidRPr="00220FBB">
        <w:rPr>
          <w:rFonts w:asciiTheme="minorEastAsia" w:hAnsiTheme="minorEastAsia" w:cs="ＭＳ ゴシック" w:hint="eastAsia"/>
          <w:spacing w:val="20"/>
          <w:kern w:val="0"/>
          <w:szCs w:val="21"/>
        </w:rPr>
        <w:t>一　B階層　出産一時金(医療保険各法による出産育児一時金、出産費等出産に関する給付金をいう。以下同じ。)の額の百分の二十に相当する額</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6" w:name="J20_K4_G2"/>
      <w:bookmarkEnd w:id="6"/>
      <w:r w:rsidRPr="00220FBB">
        <w:rPr>
          <w:rFonts w:asciiTheme="minorEastAsia" w:hAnsiTheme="minorEastAsia" w:cs="ＭＳ ゴシック" w:hint="eastAsia"/>
          <w:spacing w:val="20"/>
          <w:kern w:val="0"/>
          <w:szCs w:val="21"/>
        </w:rPr>
        <w:t>二　C階層　出産一時金の額の百分の三十に相当する額</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7" w:name="J20_K4_G3"/>
      <w:bookmarkEnd w:id="7"/>
      <w:r w:rsidRPr="00220FBB">
        <w:rPr>
          <w:rFonts w:asciiTheme="minorEastAsia" w:hAnsiTheme="minorEastAsia" w:cs="ＭＳ ゴシック" w:hint="eastAsia"/>
          <w:spacing w:val="20"/>
          <w:kern w:val="0"/>
          <w:szCs w:val="21"/>
        </w:rPr>
        <w:t>三　D1階層　出産一時金の額の百分の五十に相当する額</w:t>
      </w:r>
    </w:p>
    <w:p w:rsidR="009A6CA3" w:rsidRPr="00220FBB" w:rsidRDefault="009A6CA3" w:rsidP="009A6CA3">
      <w:pPr>
        <w:widowControl/>
        <w:spacing w:line="240" w:lineRule="atLeast"/>
        <w:ind w:hanging="230"/>
        <w:jc w:val="left"/>
        <w:rPr>
          <w:rFonts w:asciiTheme="minorEastAsia" w:hAnsiTheme="minorEastAsia" w:cs="ＭＳ ゴシック"/>
          <w:spacing w:val="20"/>
          <w:kern w:val="0"/>
          <w:szCs w:val="21"/>
        </w:rPr>
      </w:pPr>
      <w:bookmarkStart w:id="8" w:name="J20_K5"/>
      <w:bookmarkEnd w:id="8"/>
      <w:r w:rsidRPr="00220FBB">
        <w:rPr>
          <w:rFonts w:asciiTheme="minorEastAsia" w:hAnsiTheme="minorEastAsia" w:cs="ＭＳ ゴシック" w:hint="eastAsia"/>
          <w:spacing w:val="20"/>
          <w:kern w:val="0"/>
          <w:szCs w:val="21"/>
        </w:rPr>
        <w:t>5　保護者の出産、傷病、病気看護、勤務上の都合等の特別の事情によるものであると児童相談所長が認めた乳児院への児童等入所措置(入所の期間が一月に満たないもの及び一月に満たない入所の期間が児童相談所長が特に認める入所の期間の延長により一月以上となるものに限る。)を受けている被措置者等に係る入所等徴収金の額は、第二項及び第三項の規定にかかわらず、当該被措置者等の属する世帯の次の表の上欄に掲げる</w:t>
      </w:r>
      <w:hyperlink r:id="rId17" w:history="1">
        <w:r w:rsidRPr="00220FBB">
          <w:rPr>
            <w:rFonts w:asciiTheme="minorEastAsia" w:hAnsiTheme="minorEastAsia" w:cs="ＭＳ ゴシック" w:hint="eastAsia"/>
            <w:color w:val="000000"/>
            <w:spacing w:val="20"/>
            <w:kern w:val="0"/>
            <w:szCs w:val="21"/>
          </w:rPr>
          <w:t>別表第二</w:t>
        </w:r>
      </w:hyperlink>
      <w:r w:rsidRPr="00220FBB">
        <w:rPr>
          <w:rFonts w:asciiTheme="minorEastAsia" w:hAnsiTheme="minorEastAsia" w:cs="ＭＳ ゴシック" w:hint="eastAsia"/>
          <w:spacing w:val="20"/>
          <w:kern w:val="0"/>
          <w:szCs w:val="21"/>
        </w:rPr>
        <w:t>の税額等による階層区分に応じ、次の表の下欄に掲げる額とする。</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81"/>
        <w:gridCol w:w="2507"/>
      </w:tblGrid>
      <w:tr w:rsidR="009A6CA3" w:rsidRPr="00220FBB" w:rsidTr="00B51D61">
        <w:trPr>
          <w:tblCellSpacing w:w="15" w:type="dxa"/>
        </w:trPr>
        <w:tc>
          <w:tcPr>
            <w:tcW w:w="3497" w:type="pct"/>
            <w:tcBorders>
              <w:top w:val="outset" w:sz="6" w:space="0" w:color="auto"/>
              <w:left w:val="outset" w:sz="6" w:space="0" w:color="auto"/>
              <w:bottom w:val="outset" w:sz="6" w:space="0" w:color="auto"/>
              <w:right w:val="outset" w:sz="6" w:space="0" w:color="auto"/>
            </w:tcBorders>
            <w:shd w:val="clear" w:color="auto" w:fill="FFFFFF"/>
            <w:hideMark/>
          </w:tcPr>
          <w:bookmarkStart w:id="9" w:name="H1"/>
          <w:bookmarkEnd w:id="9"/>
          <w:p w:rsidR="009A6CA3" w:rsidRPr="00220FBB" w:rsidRDefault="009A6CA3" w:rsidP="00B51D61">
            <w:pPr>
              <w:widowControl/>
              <w:spacing w:line="240" w:lineRule="atLeast"/>
              <w:jc w:val="center"/>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fldChar w:fldCharType="begin"/>
            </w:r>
            <w:r w:rsidRPr="00220FBB">
              <w:rPr>
                <w:rFonts w:asciiTheme="minorEastAsia" w:hAnsiTheme="minorEastAsia" w:cs="ＭＳ Ｐゴシック"/>
                <w:spacing w:val="20"/>
                <w:kern w:val="0"/>
                <w:szCs w:val="21"/>
              </w:rPr>
              <w:instrText xml:space="preserve"> HYPERLINK "JavaScript:void%20fnOwnLink(10665,'c0010788043004301.html','B2')" </w:instrText>
            </w:r>
            <w:r w:rsidRPr="00220FBB">
              <w:rPr>
                <w:rFonts w:asciiTheme="minorEastAsia" w:hAnsiTheme="minorEastAsia" w:cs="ＭＳ Ｐゴシック"/>
                <w:spacing w:val="20"/>
                <w:kern w:val="0"/>
                <w:szCs w:val="21"/>
              </w:rPr>
              <w:fldChar w:fldCharType="separate"/>
            </w:r>
            <w:r w:rsidRPr="00220FBB">
              <w:rPr>
                <w:rFonts w:asciiTheme="minorEastAsia" w:hAnsiTheme="minorEastAsia" w:cs="ＭＳ Ｐゴシック"/>
                <w:color w:val="000000"/>
                <w:spacing w:val="20"/>
                <w:kern w:val="0"/>
                <w:szCs w:val="21"/>
              </w:rPr>
              <w:t>別表第二</w:t>
            </w:r>
            <w:r w:rsidRPr="00220FBB">
              <w:rPr>
                <w:rFonts w:asciiTheme="minorEastAsia" w:hAnsiTheme="minorEastAsia" w:cs="ＭＳ Ｐゴシック"/>
                <w:spacing w:val="20"/>
                <w:kern w:val="0"/>
                <w:szCs w:val="21"/>
              </w:rPr>
              <w:fldChar w:fldCharType="end"/>
            </w:r>
            <w:r w:rsidRPr="00220FBB">
              <w:rPr>
                <w:rFonts w:asciiTheme="minorEastAsia" w:hAnsiTheme="minorEastAsia" w:cs="ＭＳ Ｐゴシック"/>
                <w:spacing w:val="20"/>
                <w:kern w:val="0"/>
                <w:szCs w:val="21"/>
              </w:rPr>
              <w:t>の税額等による階層区分</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center"/>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徴収金の額</w:t>
            </w:r>
          </w:p>
        </w:tc>
      </w:tr>
      <w:tr w:rsidR="009A6CA3" w:rsidRPr="00220FBB" w:rsidTr="00B51D61">
        <w:trPr>
          <w:tblCellSpacing w:w="15" w:type="dxa"/>
        </w:trPr>
        <w:tc>
          <w:tcPr>
            <w:tcW w:w="3497"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A階層及びB階層</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w:t>
            </w:r>
          </w:p>
        </w:tc>
      </w:tr>
      <w:tr w:rsidR="009A6CA3" w:rsidRPr="00220FBB" w:rsidTr="00B51D61">
        <w:trPr>
          <w:tblCellSpacing w:w="15" w:type="dxa"/>
        </w:trPr>
        <w:tc>
          <w:tcPr>
            <w:tcW w:w="3497"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C1階層からD2階層まで及びD3階層(</w:t>
            </w:r>
            <w:hyperlink r:id="rId18" w:history="1">
              <w:r w:rsidRPr="00220FBB">
                <w:rPr>
                  <w:rFonts w:asciiTheme="minorEastAsia" w:hAnsiTheme="minorEastAsia" w:cs="ＭＳ Ｐゴシック"/>
                  <w:color w:val="000000"/>
                  <w:spacing w:val="20"/>
                  <w:kern w:val="0"/>
                  <w:szCs w:val="21"/>
                </w:rPr>
                <w:t>別表第二</w:t>
              </w:r>
            </w:hyperlink>
            <w:r w:rsidRPr="00220FBB">
              <w:rPr>
                <w:rFonts w:asciiTheme="minorEastAsia" w:hAnsiTheme="minorEastAsia" w:cs="ＭＳ Ｐゴシック"/>
                <w:spacing w:val="20"/>
                <w:kern w:val="0"/>
                <w:szCs w:val="21"/>
              </w:rPr>
              <w:t>の備考一の4に規定する世帯等所得税額(以下この表において「世帯等所得税額」という。)が六〇、〇〇〇円以下のものに限る。)</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日額　一、〇〇〇円</w:t>
            </w:r>
          </w:p>
        </w:tc>
      </w:tr>
      <w:tr w:rsidR="009A6CA3" w:rsidRPr="00220FBB" w:rsidTr="00B51D61">
        <w:trPr>
          <w:tblCellSpacing w:w="15" w:type="dxa"/>
        </w:trPr>
        <w:tc>
          <w:tcPr>
            <w:tcW w:w="3497"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D3階層(世帯等所得税額が六〇、〇〇一円以上のものに限る。)及びD4階層からD13階層まで</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日額　二、〇〇〇円</w:t>
            </w:r>
          </w:p>
        </w:tc>
      </w:tr>
      <w:tr w:rsidR="009A6CA3" w:rsidRPr="00220FBB" w:rsidTr="00B51D61">
        <w:trPr>
          <w:tblCellSpacing w:w="15" w:type="dxa"/>
        </w:trPr>
        <w:tc>
          <w:tcPr>
            <w:tcW w:w="3497"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9A6CA3" w:rsidP="00B51D61">
            <w:pPr>
              <w:widowControl/>
              <w:spacing w:line="240" w:lineRule="atLeast"/>
              <w:jc w:val="left"/>
              <w:rPr>
                <w:rFonts w:asciiTheme="minorEastAsia" w:hAnsiTheme="minorEastAsia" w:cs="ＭＳ Ｐゴシック"/>
                <w:spacing w:val="20"/>
                <w:kern w:val="0"/>
                <w:szCs w:val="21"/>
              </w:rPr>
            </w:pPr>
            <w:r w:rsidRPr="00220FBB">
              <w:rPr>
                <w:rFonts w:asciiTheme="minorEastAsia" w:hAnsiTheme="minorEastAsia" w:cs="ＭＳ Ｐゴシック"/>
                <w:spacing w:val="20"/>
                <w:kern w:val="0"/>
                <w:szCs w:val="21"/>
              </w:rPr>
              <w:t>D14階層</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9A6CA3" w:rsidRPr="00220FBB" w:rsidRDefault="002726D1" w:rsidP="00B51D61">
            <w:pPr>
              <w:widowControl/>
              <w:spacing w:line="240" w:lineRule="atLeast"/>
              <w:jc w:val="left"/>
              <w:rPr>
                <w:rFonts w:asciiTheme="minorEastAsia" w:hAnsiTheme="minorEastAsia" w:cs="ＭＳ Ｐゴシック"/>
                <w:spacing w:val="20"/>
                <w:kern w:val="0"/>
                <w:szCs w:val="21"/>
              </w:rPr>
            </w:pPr>
            <w:hyperlink r:id="rId19" w:history="1">
              <w:r w:rsidR="009A6CA3" w:rsidRPr="00220FBB">
                <w:rPr>
                  <w:rFonts w:asciiTheme="minorEastAsia" w:hAnsiTheme="minorEastAsia" w:cs="ＭＳ Ｐゴシック"/>
                  <w:color w:val="000000"/>
                  <w:spacing w:val="20"/>
                  <w:kern w:val="0"/>
                  <w:szCs w:val="21"/>
                </w:rPr>
                <w:t>別表第二</w:t>
              </w:r>
            </w:hyperlink>
            <w:r w:rsidR="009A6CA3" w:rsidRPr="00220FBB">
              <w:rPr>
                <w:rFonts w:asciiTheme="minorEastAsia" w:hAnsiTheme="minorEastAsia" w:cs="ＭＳ Ｐゴシック"/>
                <w:spacing w:val="20"/>
                <w:kern w:val="0"/>
                <w:szCs w:val="21"/>
              </w:rPr>
              <w:t>の備考一の7に規定する措置費の支弁額を日割りにより計算して得た額</w:t>
            </w:r>
          </w:p>
        </w:tc>
      </w:tr>
    </w:tbl>
    <w:p w:rsidR="00E63EF0" w:rsidRPr="00220FBB" w:rsidRDefault="009A6CA3">
      <w:pPr>
        <w:rPr>
          <w:rFonts w:asciiTheme="minorEastAsia" w:hAnsiTheme="minorEastAsia"/>
          <w:szCs w:val="21"/>
        </w:rPr>
      </w:pPr>
      <w:r w:rsidRPr="00220FBB">
        <w:rPr>
          <w:rFonts w:asciiTheme="minorEastAsia" w:hAnsiTheme="minorEastAsia" w:cs="ＭＳ ゴシック" w:hint="eastAsia"/>
          <w:spacing w:val="20"/>
          <w:kern w:val="0"/>
          <w:szCs w:val="21"/>
        </w:rPr>
        <w:t>6～7　略</w:t>
      </w:r>
    </w:p>
    <w:sectPr w:rsidR="00E63EF0" w:rsidRPr="00220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D1" w:rsidRDefault="002726D1" w:rsidP="00220FBB">
      <w:r>
        <w:separator/>
      </w:r>
    </w:p>
  </w:endnote>
  <w:endnote w:type="continuationSeparator" w:id="0">
    <w:p w:rsidR="002726D1" w:rsidRDefault="002726D1" w:rsidP="0022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D1" w:rsidRDefault="002726D1" w:rsidP="00220FBB">
      <w:r>
        <w:separator/>
      </w:r>
    </w:p>
  </w:footnote>
  <w:footnote w:type="continuationSeparator" w:id="0">
    <w:p w:rsidR="002726D1" w:rsidRDefault="002726D1" w:rsidP="00220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A3"/>
    <w:rsid w:val="00220FBB"/>
    <w:rsid w:val="002726D1"/>
    <w:rsid w:val="009A6CA3"/>
    <w:rsid w:val="00E6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D1BDF6-B632-4E77-927A-FBAA5B8B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FBB"/>
    <w:pPr>
      <w:tabs>
        <w:tab w:val="center" w:pos="4252"/>
        <w:tab w:val="right" w:pos="8504"/>
      </w:tabs>
      <w:snapToGrid w:val="0"/>
    </w:pPr>
  </w:style>
  <w:style w:type="character" w:customStyle="1" w:styleId="a4">
    <w:name w:val="ヘッダー (文字)"/>
    <w:basedOn w:val="a0"/>
    <w:link w:val="a3"/>
    <w:uiPriority w:val="99"/>
    <w:rsid w:val="00220FBB"/>
  </w:style>
  <w:style w:type="paragraph" w:styleId="a5">
    <w:name w:val="footer"/>
    <w:basedOn w:val="a"/>
    <w:link w:val="a6"/>
    <w:uiPriority w:val="99"/>
    <w:unhideWhenUsed/>
    <w:rsid w:val="00220FBB"/>
    <w:pPr>
      <w:tabs>
        <w:tab w:val="center" w:pos="4252"/>
        <w:tab w:val="right" w:pos="8504"/>
      </w:tabs>
      <w:snapToGrid w:val="0"/>
    </w:pPr>
  </w:style>
  <w:style w:type="character" w:customStyle="1" w:styleId="a6">
    <w:name w:val="フッター (文字)"/>
    <w:basedOn w:val="a0"/>
    <w:link w:val="a5"/>
    <w:uiPriority w:val="99"/>
    <w:rsid w:val="0022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InyLink(122442,'8302400004290801h.html','J16_K1_G2')" TargetMode="External"/><Relationship Id="rId13" Type="http://schemas.openxmlformats.org/officeDocument/2006/relationships/hyperlink" Target="JavaScript:void%20fnHonLink(10727,'c0012808043004301.html','J10_K1')" TargetMode="External"/><Relationship Id="rId18" Type="http://schemas.openxmlformats.org/officeDocument/2006/relationships/hyperlink" Target="JavaScript:void%20fnOwnLink(10665,'c0010788043004301.html','B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avaScript:void%20fnInyLink(122440,'8300600004290801h.html','J18_K2')" TargetMode="External"/><Relationship Id="rId12" Type="http://schemas.openxmlformats.org/officeDocument/2006/relationships/hyperlink" Target="JavaScript:void%20fnInyLink(123291,'83aa757404291101h.html','J5_K6')" TargetMode="External"/><Relationship Id="rId17" Type="http://schemas.openxmlformats.org/officeDocument/2006/relationships/hyperlink" Target="JavaScript:void%20fnOwnLink(10665,'c0010788043004301.html','B2')" TargetMode="External"/><Relationship Id="rId2" Type="http://schemas.openxmlformats.org/officeDocument/2006/relationships/settings" Target="settings.xml"/><Relationship Id="rId16" Type="http://schemas.openxmlformats.org/officeDocument/2006/relationships/hyperlink" Target="JavaScript:void%20fnOwnLink(10665,'c0010788043004301.html','B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20fnHonLink(10727,'c0012808043004301.html','J10_K1')" TargetMode="External"/><Relationship Id="rId11" Type="http://schemas.openxmlformats.org/officeDocument/2006/relationships/hyperlink" Target="JavaScript:void%20fnInyLink(123291,'83aa757404291101h.html','J19_K1')" TargetMode="External"/><Relationship Id="rId5" Type="http://schemas.openxmlformats.org/officeDocument/2006/relationships/endnotes" Target="endnotes.xml"/><Relationship Id="rId15" Type="http://schemas.openxmlformats.org/officeDocument/2006/relationships/hyperlink" Target="JavaScript:void%20fnOwnLink(10665,'c0010788043004301.html','B2')" TargetMode="External"/><Relationship Id="rId10" Type="http://schemas.openxmlformats.org/officeDocument/2006/relationships/hyperlink" Target="JavaScript:void%20fnInyLink(123026,'8211100004291101h.html','J11_K1')" TargetMode="External"/><Relationship Id="rId19" Type="http://schemas.openxmlformats.org/officeDocument/2006/relationships/hyperlink" Target="JavaScript:void%20fnOwnLink(10665,'c0010788043004301.html','B2')" TargetMode="External"/><Relationship Id="rId4" Type="http://schemas.openxmlformats.org/officeDocument/2006/relationships/footnotes" Target="footnotes.xml"/><Relationship Id="rId9" Type="http://schemas.openxmlformats.org/officeDocument/2006/relationships/hyperlink" Target="JavaScript:void%20fnInyLink(122442,'8302400004290801h.html','J16_K1_G3')" TargetMode="External"/><Relationship Id="rId14" Type="http://schemas.openxmlformats.org/officeDocument/2006/relationships/hyperlink" Target="JavaScript:void%20fnOwnLink(10665,'c0010788043004301.html','B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2018-08-02T07:17:00Z</dcterms:created>
  <dcterms:modified xsi:type="dcterms:W3CDTF">2018-08-02T08:24:00Z</dcterms:modified>
</cp:coreProperties>
</file>