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B40940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（様式１</w:t>
      </w:r>
      <w:r w:rsidR="00673F1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）</w:t>
      </w: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021E8" w:rsidRDefault="008021E8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E0E62" w:rsidRPr="00736B0A" w:rsidRDefault="0035298D" w:rsidP="008021E8">
      <w:pPr>
        <w:jc w:val="center"/>
        <w:rPr>
          <w:rFonts w:asciiTheme="majorEastAsia" w:eastAsiaTheme="majorEastAsia" w:hAnsiTheme="majorEastAsia" w:cs="メイリオ"/>
          <w:sz w:val="30"/>
          <w:szCs w:val="30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令和５年度青森県広報発信力向上</w:t>
      </w:r>
      <w:r w:rsidR="00736B0A" w:rsidRPr="00736B0A">
        <w:rPr>
          <w:rFonts w:asciiTheme="majorEastAsia" w:eastAsiaTheme="majorEastAsia" w:hAnsiTheme="majorEastAsia" w:cs="メイリオ"/>
          <w:kern w:val="0"/>
          <w:sz w:val="28"/>
          <w:szCs w:val="24"/>
        </w:rPr>
        <w:t>業務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 xml:space="preserve">　</w:t>
      </w:r>
      <w:r w:rsidR="00736B0A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DC47C9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E7382B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8021E8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青森県知事 </w:t>
      </w:r>
      <w:r w:rsidR="003E4284">
        <w:rPr>
          <w:rFonts w:asciiTheme="majorEastAsia" w:eastAsiaTheme="majorEastAsia" w:hAnsiTheme="majorEastAsia" w:cs="メイリオ" w:hint="eastAsia"/>
          <w:sz w:val="24"/>
          <w:szCs w:val="24"/>
        </w:rPr>
        <w:t>宮下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 </w:t>
      </w:r>
      <w:r w:rsidR="003E4284">
        <w:rPr>
          <w:rFonts w:asciiTheme="majorEastAsia" w:eastAsiaTheme="majorEastAsia" w:hAnsiTheme="majorEastAsia" w:cs="メイリオ" w:hint="eastAsia"/>
          <w:sz w:val="24"/>
          <w:szCs w:val="24"/>
        </w:rPr>
        <w:t>宗一郎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3C0CF0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  <w:r w:rsidR="003E4284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DC47C9" w:rsidP="008A06D6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「</w:t>
      </w:r>
      <w:r w:rsidR="0035298D">
        <w:rPr>
          <w:rFonts w:asciiTheme="majorEastAsia" w:eastAsiaTheme="majorEastAsia" w:hAnsiTheme="majorEastAsia" w:cs="メイリオ" w:hint="eastAsia"/>
          <w:sz w:val="24"/>
          <w:szCs w:val="24"/>
        </w:rPr>
        <w:t>令和５年度青森県広報発信力向上業務</w:t>
      </w:r>
      <w:bookmarkStart w:id="0" w:name="_GoBack"/>
      <w:bookmarkEnd w:id="0"/>
      <w:r w:rsidR="005F2FB0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に関する委託業務の内容を了承し、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70" w:rsidRDefault="006E7670" w:rsidP="00810C7E">
      <w:r>
        <w:separator/>
      </w:r>
    </w:p>
  </w:endnote>
  <w:endnote w:type="continuationSeparator" w:id="0">
    <w:p w:rsidR="006E7670" w:rsidRDefault="006E7670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70" w:rsidRDefault="006E7670" w:rsidP="00810C7E">
      <w:r>
        <w:separator/>
      </w:r>
    </w:p>
  </w:footnote>
  <w:footnote w:type="continuationSeparator" w:id="0">
    <w:p w:rsidR="006E7670" w:rsidRDefault="006E7670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3A5D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5FF3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5298D"/>
    <w:rsid w:val="00365758"/>
    <w:rsid w:val="0037623C"/>
    <w:rsid w:val="00380783"/>
    <w:rsid w:val="0038174C"/>
    <w:rsid w:val="00395287"/>
    <w:rsid w:val="0039762E"/>
    <w:rsid w:val="003A7183"/>
    <w:rsid w:val="003C0CF0"/>
    <w:rsid w:val="003E4284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2FB0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73F1C"/>
    <w:rsid w:val="00692695"/>
    <w:rsid w:val="006A1D77"/>
    <w:rsid w:val="006B2C0C"/>
    <w:rsid w:val="006C2AE4"/>
    <w:rsid w:val="006D07B1"/>
    <w:rsid w:val="006D6C90"/>
    <w:rsid w:val="006E1DFB"/>
    <w:rsid w:val="006E2AC3"/>
    <w:rsid w:val="006E7670"/>
    <w:rsid w:val="006E7849"/>
    <w:rsid w:val="00702A85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40940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1066A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47C9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382B"/>
    <w:rsid w:val="00E76B50"/>
    <w:rsid w:val="00E81C94"/>
    <w:rsid w:val="00EA6142"/>
    <w:rsid w:val="00EC4A3C"/>
    <w:rsid w:val="00EE1ED1"/>
    <w:rsid w:val="00EE6D5B"/>
    <w:rsid w:val="00F0741B"/>
    <w:rsid w:val="00F24329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C1A81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C571-A2B0-41C2-B0FB-E86D1F62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201op</cp:lastModifiedBy>
  <cp:revision>10</cp:revision>
  <cp:lastPrinted>2023-09-12T02:45:00Z</cp:lastPrinted>
  <dcterms:created xsi:type="dcterms:W3CDTF">2020-03-27T01:09:00Z</dcterms:created>
  <dcterms:modified xsi:type="dcterms:W3CDTF">2023-09-12T02:45:00Z</dcterms:modified>
</cp:coreProperties>
</file>